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color w:val="010005"/>
          <w:sz w:val="32"/>
          <w:szCs w:val="32"/>
          <w:shd w:val="clear" w:color="auto" w:fill="F7FAFF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招标要求</w:t>
      </w:r>
    </w:p>
    <w:bookmarkEnd w:id="0"/>
    <w:p>
      <w:pPr>
        <w:spacing w:line="360" w:lineRule="auto"/>
        <w:jc w:val="left"/>
        <w:rPr>
          <w:rFonts w:hint="eastAsia" w:ascii="宋体" w:hAnsi="宋体"/>
          <w:color w:val="010005"/>
          <w:sz w:val="28"/>
          <w:szCs w:val="28"/>
          <w:shd w:val="clear" w:color="auto" w:fill="F7FAFF"/>
        </w:rPr>
      </w:pPr>
      <w:r>
        <w:rPr>
          <w:rFonts w:hint="eastAsia"/>
          <w:b/>
          <w:sz w:val="28"/>
          <w:szCs w:val="28"/>
        </w:rPr>
        <w:t>第一节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总则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1.1. 项目概况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1.1.1.项目名称：</w:t>
      </w:r>
      <w:r>
        <w:rPr>
          <w:rFonts w:hint="eastAsia" w:ascii="宋体"/>
          <w:sz w:val="28"/>
          <w:szCs w:val="28"/>
        </w:rPr>
        <w:t>广东一方制药有限公司VM超融合服务器项目</w:t>
      </w:r>
      <w:r>
        <w:rPr>
          <w:rFonts w:hint="eastAsia"/>
          <w:sz w:val="28"/>
          <w:szCs w:val="28"/>
        </w:rPr>
        <w:t>；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1.1.2.项目范围：</w:t>
      </w:r>
      <w:r>
        <w:rPr>
          <w:rFonts w:hint="eastAsia" w:ascii="宋体"/>
          <w:sz w:val="28"/>
          <w:szCs w:val="28"/>
        </w:rPr>
        <w:t>广东一方VM超融合服务器项目申请中包含的硬件设备范围</w:t>
      </w:r>
      <w:r>
        <w:rPr>
          <w:rFonts w:hint="eastAsia"/>
          <w:sz w:val="28"/>
          <w:szCs w:val="28"/>
        </w:rPr>
        <w:t>；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1.1.3.招标目的：此次招标目的在于</w:t>
      </w:r>
      <w:r>
        <w:rPr>
          <w:rFonts w:hint="eastAsia"/>
          <w:sz w:val="28"/>
          <w:szCs w:val="28"/>
          <w:lang w:eastAsia="zh-CN"/>
        </w:rPr>
        <w:t>增加广东一方</w:t>
      </w:r>
      <w:r>
        <w:rPr>
          <w:rFonts w:hint="eastAsia"/>
          <w:sz w:val="28"/>
          <w:szCs w:val="28"/>
          <w:lang w:val="en-US" w:eastAsia="zh-CN"/>
        </w:rPr>
        <w:t>VM超融合服务器节点，增加服务器资源</w:t>
      </w:r>
      <w:r>
        <w:rPr>
          <w:rFonts w:hint="eastAsia"/>
          <w:sz w:val="28"/>
          <w:szCs w:val="28"/>
        </w:rPr>
        <w:t xml:space="preserve">；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1.1.4.招标方式：公开招标。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1.1.5. 设备说明详见</w:t>
      </w:r>
      <w:r>
        <w:rPr>
          <w:rFonts w:hint="eastAsia"/>
          <w:b/>
          <w:sz w:val="28"/>
          <w:szCs w:val="28"/>
        </w:rPr>
        <w:t>附件：详细技术内容和要求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1.2．投标人投标资格要求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（1）投标人必须符合《招标投标法》关于投标人要求的相关条款；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（2）必须是在中华人民共和国境内注册的独立法人，具有独立订立合同的能力；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（3）具有独立承担民事责任的能力，具有良好的商业信誉；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（4）企业注册资金不少于200万元人民币；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（5）法律、法规和招标文件规定的其他条件。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1.3．项目实施地点</w:t>
      </w:r>
    </w:p>
    <w:p>
      <w:pPr>
        <w:tabs>
          <w:tab w:val="left" w:pos="1840"/>
        </w:tabs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 xml:space="preserve">     广东省佛山市南海区里水镇和顺金逢路69号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1.4．付款方式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优先按照</w:t>
      </w:r>
      <w:r>
        <w:rPr>
          <w:sz w:val="28"/>
          <w:szCs w:val="28"/>
        </w:rPr>
        <w:t>公司财务规定的预付</w:t>
      </w:r>
      <w:r>
        <w:rPr>
          <w:rFonts w:hint="eastAsia"/>
          <w:sz w:val="28"/>
          <w:szCs w:val="28"/>
        </w:rPr>
        <w:t>款</w:t>
      </w:r>
      <w:r>
        <w:rPr>
          <w:sz w:val="28"/>
          <w:szCs w:val="28"/>
        </w:rPr>
        <w:t>、安装款、验收款、质保金比例为</w:t>
      </w:r>
      <w:r>
        <w:rPr>
          <w:rFonts w:hint="eastAsia"/>
          <w:sz w:val="28"/>
          <w:szCs w:val="28"/>
        </w:rPr>
        <w:t>3:3:3: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方式进行付款</w:t>
      </w:r>
      <w:r>
        <w:rPr>
          <w:rFonts w:hint="eastAsia"/>
          <w:sz w:val="28"/>
          <w:szCs w:val="28"/>
        </w:rPr>
        <w:t>，具体支付方式由我公司和中标单位协商。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1.5．提供资料</w:t>
      </w:r>
    </w:p>
    <w:p>
      <w:pPr>
        <w:tabs>
          <w:tab w:val="left" w:pos="0"/>
        </w:tabs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（1）经营资质证明：《营业执照》；</w:t>
      </w:r>
      <w:r>
        <w:rPr>
          <w:rFonts w:hint="eastAsia"/>
          <w:sz w:val="28"/>
          <w:szCs w:val="28"/>
          <w:lang w:val="en-US" w:eastAsia="zh-CN"/>
        </w:rPr>
        <w:t>若投标出席人不是投标单位的法人，则投标单位需出具一份授权书且加盖投标单位的公章；</w:t>
      </w:r>
    </w:p>
    <w:p>
      <w:pPr>
        <w:tabs>
          <w:tab w:val="left" w:pos="0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（2）法人身份证复印件或被授权人身份证复印件；</w:t>
      </w:r>
    </w:p>
    <w:p>
      <w:pPr>
        <w:tabs>
          <w:tab w:val="left" w:pos="0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（3）设备相关品牌代理资质证明，产品质量检测报告；</w:t>
      </w:r>
    </w:p>
    <w:p>
      <w:pPr>
        <w:tabs>
          <w:tab w:val="left" w:pos="0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（4）负责本次项目的项目经理或技术负责人的相关资质证书等；</w:t>
      </w:r>
    </w:p>
    <w:p>
      <w:pPr>
        <w:tabs>
          <w:tab w:val="left" w:pos="0"/>
        </w:tabs>
        <w:spacing w:line="360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（5）包含但不限于上述四项指定的相关资格证书等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tabs>
          <w:tab w:val="left" w:pos="0"/>
        </w:tabs>
        <w:spacing w:line="360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（6）投标报价说明、投标总价及投标报价汇总表等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tabs>
          <w:tab w:val="left" w:pos="0"/>
        </w:tabs>
        <w:spacing w:line="360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（7）公司简介、成功案例、售后服务及培训计划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tabs>
          <w:tab w:val="left" w:pos="0"/>
        </w:tabs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（8）所有文件</w:t>
      </w:r>
      <w:r>
        <w:rPr>
          <w:rFonts w:hint="eastAsia"/>
          <w:b/>
          <w:bCs/>
          <w:sz w:val="28"/>
          <w:szCs w:val="28"/>
        </w:rPr>
        <w:t>一式伍</w:t>
      </w:r>
      <w:r>
        <w:rPr>
          <w:rFonts w:hint="eastAsia"/>
          <w:sz w:val="28"/>
          <w:szCs w:val="28"/>
        </w:rPr>
        <w:t>份，密封并盖单位公章方为有效。</w:t>
      </w:r>
    </w:p>
    <w:p>
      <w:pPr>
        <w:tabs>
          <w:tab w:val="left" w:pos="1840"/>
        </w:tabs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1.6. 服务要求</w:t>
      </w:r>
    </w:p>
    <w:p>
      <w:pPr>
        <w:tabs>
          <w:tab w:val="left" w:pos="1840"/>
        </w:tabs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投标人必须提供售后服务承诺函，承诺所有货物提供1年或以上的免费上门保修服务（含人工及配件）；安装</w:t>
      </w:r>
      <w:r>
        <w:rPr>
          <w:sz w:val="28"/>
          <w:szCs w:val="28"/>
        </w:rPr>
        <w:t>验收完，需要对使用人员进行相关的专业培训。</w:t>
      </w:r>
    </w:p>
    <w:p>
      <w:pPr>
        <w:tabs>
          <w:tab w:val="left" w:pos="1840"/>
        </w:tabs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售后服务响应时间：在质保期内，投标人接到采购人</w:t>
      </w:r>
      <w:r>
        <w:rPr>
          <w:rFonts w:hint="eastAsia"/>
          <w:sz w:val="28"/>
          <w:szCs w:val="28"/>
          <w:lang w:eastAsia="zh-CN"/>
        </w:rPr>
        <w:t>报障</w:t>
      </w:r>
      <w:r>
        <w:rPr>
          <w:rFonts w:hint="eastAsia"/>
          <w:sz w:val="28"/>
          <w:szCs w:val="28"/>
        </w:rPr>
        <w:t>电话申报后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小时内响应，24小时内到达现场，48小时内解决问题。如发生特殊事故，无法在采购人要求的时间内解决，投标人应以电话等联系方式向用户方解释，并事后出具函件说明事故原因及解决的具体时间。</w:t>
      </w:r>
    </w:p>
    <w:p>
      <w:pPr>
        <w:tabs>
          <w:tab w:val="left" w:pos="1840"/>
        </w:tabs>
        <w:spacing w:line="360" w:lineRule="auto"/>
        <w:ind w:firstLine="141" w:firstLineChars="5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1.8．开标、评标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开标：招标人在投标邀请书中规定时间和地点开标。投标人可派代表参加（代表需开具委托书）。开标时招标人需查验投标文件的密封情况，确认无误后拆封。</w:t>
      </w:r>
      <w:r>
        <w:rPr>
          <w:rFonts w:hint="eastAsia" w:ascii="宋体" w:hAnsi="宋体"/>
          <w:bCs/>
          <w:sz w:val="28"/>
          <w:szCs w:val="28"/>
        </w:rPr>
        <w:t>如果投标文件未按规定密封和标记，其投标将被拒绝接受。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投标：招标人在投标过程中根据投标情况进行记录，投标规则为一轮投标制。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评标：由信息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管理</w:t>
      </w:r>
      <w:r>
        <w:rPr>
          <w:rFonts w:hint="eastAsia" w:ascii="宋体" w:hAnsi="宋体"/>
          <w:bCs/>
          <w:sz w:val="28"/>
          <w:szCs w:val="28"/>
        </w:rPr>
        <w:t>部、财务中心、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审计部</w:t>
      </w:r>
      <w:r>
        <w:rPr>
          <w:rFonts w:hint="eastAsia" w:ascii="宋体" w:hAnsi="宋体"/>
          <w:bCs/>
          <w:sz w:val="28"/>
          <w:szCs w:val="28"/>
        </w:rPr>
        <w:t>及公司领导等参加评标，主要对投标报价、技术服务及商务部分分别进行评分并记录。</w:t>
      </w:r>
    </w:p>
    <w:p>
      <w:pPr>
        <w:tabs>
          <w:tab w:val="left" w:pos="1840"/>
        </w:tabs>
        <w:spacing w:line="360" w:lineRule="auto"/>
        <w:ind w:firstLine="141" w:firstLineChars="5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1.9．中标</w:t>
      </w:r>
      <w:r>
        <w:rPr>
          <w:b/>
          <w:sz w:val="28"/>
          <w:szCs w:val="28"/>
        </w:rPr>
        <w:t>通知</w:t>
      </w:r>
    </w:p>
    <w:p>
      <w:pPr>
        <w:tabs>
          <w:tab w:val="left" w:pos="1840"/>
        </w:tabs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我公司将在开标</w:t>
      </w:r>
      <w:r>
        <w:rPr>
          <w:sz w:val="28"/>
          <w:szCs w:val="28"/>
        </w:rPr>
        <w:t>后</w:t>
      </w:r>
      <w:r>
        <w:rPr>
          <w:rFonts w:hint="eastAsia"/>
          <w:sz w:val="28"/>
          <w:szCs w:val="28"/>
        </w:rPr>
        <w:t>5个</w:t>
      </w:r>
      <w:r>
        <w:rPr>
          <w:sz w:val="28"/>
          <w:szCs w:val="28"/>
        </w:rPr>
        <w:t>工作</w:t>
      </w:r>
      <w:r>
        <w:rPr>
          <w:rFonts w:hint="eastAsia"/>
          <w:sz w:val="28"/>
          <w:szCs w:val="28"/>
        </w:rPr>
        <w:t>日内通知中标单位及其他单位。</w:t>
      </w:r>
    </w:p>
    <w:p>
      <w:pPr>
        <w:tabs>
          <w:tab w:val="left" w:pos="0"/>
        </w:tabs>
        <w:spacing w:line="360" w:lineRule="auto"/>
        <w:rPr>
          <w:rFonts w:ascii="宋体" w:hAnsi="宋体"/>
          <w:bCs/>
          <w:sz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hAnsi="宋体"/>
          <w:bCs/>
          <w:sz w:val="24"/>
        </w:rPr>
      </w:pPr>
    </w:p>
    <w:p>
      <w:pPr>
        <w:tabs>
          <w:tab w:val="left" w:pos="0"/>
        </w:tabs>
        <w:spacing w:line="360" w:lineRule="auto"/>
        <w:ind w:right="120"/>
        <w:jc w:val="righ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邀标单位：广东一方制药有限公司</w:t>
      </w:r>
    </w:p>
    <w:p>
      <w:r>
        <w:rPr>
          <w:rFonts w:hint="eastAsia" w:ascii="宋体" w:hAnsi="宋体"/>
          <w:bCs/>
          <w:sz w:val="24"/>
        </w:rPr>
        <w:t xml:space="preserve">                                     </w:t>
      </w:r>
      <w:r>
        <w:rPr>
          <w:rFonts w:ascii="宋体" w:hAnsi="宋体"/>
          <w:bCs/>
          <w:sz w:val="24"/>
        </w:rPr>
        <w:t xml:space="preserve">           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2022</w:t>
      </w:r>
      <w:r>
        <w:rPr>
          <w:rFonts w:hint="eastAsia" w:ascii="宋体" w:hAnsi="宋体"/>
          <w:bCs/>
          <w:sz w:val="30"/>
          <w:szCs w:val="30"/>
        </w:rPr>
        <w:t xml:space="preserve">年 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bCs/>
          <w:sz w:val="30"/>
          <w:szCs w:val="30"/>
        </w:rPr>
        <w:t>月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bCs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A395F"/>
    <w:multiLevelType w:val="multilevel"/>
    <w:tmpl w:val="4D5A395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44123"/>
    <w:rsid w:val="3FB4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中国中药控股有限公司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2022-10-21T08:39:00Z</dcterms:created>
  <dc:creator>Berlin</dc:creator>
  <cp:lastModifiedBy>Berlin</cp:lastModifiedBy>
  <dcterms:modified xsi:type="dcterms:W3CDTF">2022-10-21T08:39:42Z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EF22E1E81C9D40EBA40666EFFE8F737F</vt:lpwstr>
  </property>
</Properties>
</file>